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CARTA-COMPROMISSO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Servidores e Trabalhadores integrantes do Ministério Pùblico do Estado do Maranhão,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Eu, ……………………………………….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Promotor/Procurador de Justiça, candidato ao cargo de Procurador(a)-Geral de Justiça do Ministério Público do Estado do Maranhão,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princípios constitucionais da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dignidade da pessoa humana (CF-1988, 1º, III), o direito do trabalhador à livre associação sindical (art. 8º, CF/1988),  bem como o direito à participação nos colegiados dos órgãos públicos em que seus interesses profissionais sejam objeto de discussão e deliberação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(art. 10,CF/1988)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incumbe ao Ministério Público a defesa dos interesses sociais e individuais indisponíveis” ( art. 127 da CF/1988), o que pressupõe uma estrutura institucional fortalecida, equilibrada e composta por trabalhadores valorizados;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o Ministério Público do Estado do Maranhão é formado por membros e servidores, forças de trabalho indissociáveis e igualmente essenciais ao funcionamento e à efetividade da instituição;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a corrosão inflacionária nos vencimento dos servidores do MPMA, de 2014 a 2026, na ordem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65,89%, </w:t>
      </w:r>
      <w:r w:rsidDel="00000000" w:rsidR="00000000" w:rsidRPr="00000000">
        <w:rPr>
          <w:rFonts w:ascii="Arial" w:cs="Arial" w:eastAsia="Arial" w:hAnsi="Arial"/>
          <w:rtl w:val="0"/>
        </w:rPr>
        <w:t xml:space="preserve">bem como a necessidade de recomposição e valorização contínua da carreira;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 o papel imprescindível dos servidores no funcionamento e construção do Ministério Pùblico;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fim, que a valorização dos servidores constitui elemento indispensável para o fortalecimento institucional e para a melhoria dos serviços prestados à sociedade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Venho firmar o compromisso, junto aos Servidores e Trabalhadores integrantes do Ministério Pùblico do Estado do Maranhão, em trabalhar para implantar as seguintes demandas: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Definição legal das atribuições dos cargos;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Mudança da nomenclatura dos Executores de Mandados para Oficial do Ministério Público;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Exigência de nível superior para os cargos de Técnico Ministerial e Oficial do Ministério Público;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Incorporação da gratificação de risco de vida ao vencimento do Oficial do Ministério Público;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Correção da defasagem inflacionária acumulada (65,89%);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Implantação de data-base anual, com reajuste mínimo equivalente ao índice oficial de inflação;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Revisão dos percentuais do Adicional de Qualificação (AQ);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Conversibilidade de férias (⅓) e licença-prêmio (metade) em pecúnia;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</w:t>
        <w:tab/>
        <w:tab/>
        <w:t xml:space="preserve">] Demais demandas dos servidores.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Sem mais, subscrevo-me: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Luís-MA, _______ de ____________ de 2026.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141.7322834645668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andidato a Procurador-Geral de Justiça do Ministério Público do Maranhão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0.3937007874016" w:top="850.3937007874016" w:left="1700.7874015748032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right="36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0"/>
        <w:bCs w:val="0"/>
        <w:sz w:val="16"/>
        <w:szCs w:val="16"/>
        <w:vertAlign w:val="baseline"/>
        <w:rtl w:val="0"/>
      </w:rPr>
      <w:t xml:space="preserve">Endereço: Rua dos Abacateiros, nº 19, Jardim São Francisco, São Luis/MA. CEP: 65.076-010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right="360"/>
      <w:jc w:val="center"/>
      <w:rPr>
        <w:rFonts w:ascii="Arial" w:cs="Arial" w:eastAsia="Arial" w:hAnsi="Arial"/>
        <w:b w:val="0"/>
        <w:bCs w:val="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sz w:val="16"/>
        <w:szCs w:val="16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u w:val="single"/>
          <w:vertAlign w:val="baseline"/>
          <w:rtl w:val="0"/>
        </w:rPr>
        <w:t xml:space="preserve">sindsempmaranhao@gmail.com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sz w:val="16"/>
        <w:szCs w:val="16"/>
        <w:vertAlign w:val="baseline"/>
        <w:rtl w:val="0"/>
      </w:rPr>
      <w:t xml:space="preserve"> Sítio: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u w:val="single"/>
          <w:vertAlign w:val="baseline"/>
          <w:rtl w:val="0"/>
        </w:rPr>
        <w:t xml:space="preserve">http://www.sindsemp-ma.org.br</w:t>
      </w:r>
    </w:hyperlink>
    <w:r w:rsidDel="00000000" w:rsidR="00000000" w:rsidRPr="00000000">
      <w:rPr>
        <w:rFonts w:ascii="Arial" w:cs="Arial" w:eastAsia="Arial" w:hAnsi="Arial"/>
        <w:b w:val="0"/>
        <w:bCs w:val="0"/>
        <w:sz w:val="16"/>
        <w:szCs w:val="16"/>
        <w:vertAlign w:val="baseline"/>
        <w:rtl w:val="0"/>
      </w:rPr>
      <w:t xml:space="preserve"> Fones: 3221 –7074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567" w:line="240" w:lineRule="auto"/>
      <w:jc w:val="right"/>
      <w:rPr>
        <w:rFonts w:ascii="Times New Roman" w:cs="Times New Roman" w:eastAsia="Times New Roman" w:hAnsi="Times New Roman"/>
        <w:b w:val="0"/>
        <w:bCs w:val="0"/>
        <w:sz w:val="18"/>
        <w:szCs w:val="18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sz w:val="24"/>
        <w:szCs w:val="24"/>
        <w:vertAlign w:val="baseline"/>
      </w:rPr>
      <w:drawing>
        <wp:inline distB="0" distT="0" distL="114300" distR="114300">
          <wp:extent cx="1898650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865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0"/>
        <w:bCs w:val="0"/>
        <w:sz w:val="16"/>
        <w:szCs w:val="16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1046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indsempmaranhao@gmail.com" TargetMode="External"/><Relationship Id="rId2" Type="http://schemas.openxmlformats.org/officeDocument/2006/relationships/hyperlink" Target="http://www.sindsemp-ma.org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